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EE" w:rsidRPr="00CA2776" w:rsidRDefault="00E707EE" w:rsidP="002B78E2">
      <w:pPr>
        <w:spacing w:after="120" w:line="240" w:lineRule="auto"/>
        <w:rPr>
          <w:color w:val="7030A0"/>
          <w:sz w:val="24"/>
          <w:szCs w:val="24"/>
        </w:rPr>
      </w:pPr>
      <w:bookmarkStart w:id="0" w:name="_GoBack"/>
      <w:bookmarkEnd w:id="0"/>
      <w:r w:rsidRPr="00CA2776">
        <w:rPr>
          <w:color w:val="7030A0"/>
          <w:sz w:val="24"/>
          <w:szCs w:val="24"/>
        </w:rPr>
        <w:t xml:space="preserve">Purpose of this template: </w:t>
      </w:r>
      <w:r w:rsidR="00F34BDE">
        <w:rPr>
          <w:color w:val="7030A0"/>
          <w:sz w:val="24"/>
          <w:szCs w:val="24"/>
        </w:rPr>
        <w:t>The template is a mechanism for methodical, comprehensive, sequenced</w:t>
      </w:r>
      <w:r w:rsidR="00F34BDE" w:rsidRPr="00CA2776">
        <w:rPr>
          <w:color w:val="7030A0"/>
          <w:sz w:val="24"/>
          <w:szCs w:val="24"/>
        </w:rPr>
        <w:t xml:space="preserve"> </w:t>
      </w:r>
      <w:r w:rsidR="00F34BDE">
        <w:rPr>
          <w:color w:val="7030A0"/>
          <w:sz w:val="24"/>
          <w:szCs w:val="24"/>
        </w:rPr>
        <w:t>course development.</w:t>
      </w:r>
    </w:p>
    <w:p w:rsidR="00172998" w:rsidRPr="00273090" w:rsidRDefault="00172998" w:rsidP="002B78E2">
      <w:pPr>
        <w:pStyle w:val="Subtitle"/>
        <w:spacing w:after="120" w:line="240" w:lineRule="auto"/>
        <w:rPr>
          <w:b/>
          <w:sz w:val="24"/>
          <w:szCs w:val="24"/>
        </w:rPr>
      </w:pPr>
      <w:r w:rsidRPr="00273090">
        <w:rPr>
          <w:b/>
          <w:sz w:val="24"/>
          <w:szCs w:val="24"/>
        </w:rPr>
        <w:t>Course Number and Title:</w:t>
      </w:r>
      <w:r w:rsidR="005F3800" w:rsidRPr="00273090">
        <w:rPr>
          <w:b/>
          <w:sz w:val="24"/>
          <w:szCs w:val="24"/>
        </w:rPr>
        <w:t xml:space="preserve"> </w:t>
      </w:r>
    </w:p>
    <w:p w:rsidR="00E707EE" w:rsidRPr="00273090" w:rsidRDefault="00E707EE" w:rsidP="00273090">
      <w:pPr>
        <w:pStyle w:val="Heading1"/>
      </w:pPr>
      <w:r w:rsidRPr="00273090">
        <w:t>Course Description</w:t>
      </w:r>
    </w:p>
    <w:p w:rsidR="00E707EE" w:rsidRPr="00CA2776" w:rsidRDefault="00E707EE" w:rsidP="002B78E2">
      <w:pPr>
        <w:spacing w:after="120" w:line="240" w:lineRule="auto"/>
        <w:rPr>
          <w:sz w:val="24"/>
          <w:szCs w:val="24"/>
        </w:rPr>
      </w:pPr>
      <w:r w:rsidRPr="00CA2776">
        <w:rPr>
          <w:color w:val="7030A0"/>
          <w:sz w:val="24"/>
          <w:szCs w:val="24"/>
        </w:rPr>
        <w:t xml:space="preserve">A description of the course consistent with what appears in the </w:t>
      </w:r>
      <w:hyperlink r:id="rId8" w:history="1">
        <w:r w:rsidRPr="00CA2776">
          <w:rPr>
            <w:rStyle w:val="Hyperlink"/>
            <w:sz w:val="24"/>
            <w:szCs w:val="24"/>
          </w:rPr>
          <w:t>university catalog</w:t>
        </w:r>
      </w:hyperlink>
    </w:p>
    <w:p w:rsidR="005F3800" w:rsidRPr="005F3800" w:rsidRDefault="005F3800" w:rsidP="002B78E2">
      <w:pPr>
        <w:spacing w:after="120" w:line="240" w:lineRule="auto"/>
      </w:pPr>
    </w:p>
    <w:p w:rsidR="00E707EE" w:rsidRDefault="00E707EE" w:rsidP="00273090">
      <w:pPr>
        <w:pStyle w:val="Heading1"/>
      </w:pPr>
      <w:r>
        <w:t>Course Purpose within a Program of Study</w:t>
      </w:r>
    </w:p>
    <w:p w:rsidR="00E707EE" w:rsidRPr="00CA2776" w:rsidRDefault="00E707EE" w:rsidP="002B78E2">
      <w:pPr>
        <w:spacing w:after="120" w:line="240" w:lineRule="auto"/>
        <w:rPr>
          <w:color w:val="7030A0"/>
          <w:sz w:val="24"/>
          <w:szCs w:val="24"/>
        </w:rPr>
      </w:pPr>
      <w:r w:rsidRPr="00CA2776">
        <w:rPr>
          <w:color w:val="7030A0"/>
          <w:sz w:val="24"/>
          <w:szCs w:val="24"/>
        </w:rPr>
        <w:t xml:space="preserve">The purpose of the course, expanding on the course description and/or informing the students what role the course plays in the </w:t>
      </w:r>
      <w:hyperlink r:id="rId9" w:history="1">
        <w:r w:rsidRPr="00CA2776">
          <w:rPr>
            <w:rStyle w:val="Hyperlink"/>
            <w:sz w:val="24"/>
            <w:szCs w:val="24"/>
          </w:rPr>
          <w:t>degree program</w:t>
        </w:r>
      </w:hyperlink>
    </w:p>
    <w:p w:rsidR="005F3800" w:rsidRPr="005F3800" w:rsidRDefault="005F3800" w:rsidP="002B78E2">
      <w:pPr>
        <w:spacing w:after="120" w:line="240" w:lineRule="auto"/>
      </w:pPr>
    </w:p>
    <w:p w:rsidR="00E707EE" w:rsidRDefault="00E707EE" w:rsidP="00273090">
      <w:pPr>
        <w:pStyle w:val="Heading1"/>
      </w:pPr>
      <w:r>
        <w:t>Statement of Expected Learning</w:t>
      </w:r>
    </w:p>
    <w:p w:rsidR="005F3800" w:rsidRPr="00CA2776" w:rsidRDefault="00CD3880" w:rsidP="002B78E2">
      <w:pPr>
        <w:spacing w:after="120" w:line="240" w:lineRule="auto"/>
        <w:rPr>
          <w:sz w:val="24"/>
          <w:szCs w:val="24"/>
        </w:rPr>
      </w:pPr>
      <w:r w:rsidRPr="00CA2776">
        <w:rPr>
          <w:color w:val="7030A0"/>
          <w:sz w:val="24"/>
          <w:szCs w:val="24"/>
        </w:rPr>
        <w:t xml:space="preserve">List </w:t>
      </w:r>
      <w:r>
        <w:rPr>
          <w:color w:val="7030A0"/>
          <w:sz w:val="24"/>
          <w:szCs w:val="24"/>
        </w:rPr>
        <w:t xml:space="preserve">about five course </w:t>
      </w:r>
      <w:r w:rsidRPr="00CA2776">
        <w:rPr>
          <w:color w:val="7030A0"/>
          <w:sz w:val="24"/>
          <w:szCs w:val="24"/>
        </w:rPr>
        <w:t>learning goals (e.g., outcomes, objectives, competencies, performance criteria, desired results, “big ideas”, knowledge/skills to be acquired</w:t>
      </w:r>
      <w:r>
        <w:rPr>
          <w:color w:val="7030A0"/>
          <w:sz w:val="24"/>
          <w:szCs w:val="24"/>
        </w:rPr>
        <w:t>)</w:t>
      </w:r>
      <w:r w:rsidRPr="00CA2776">
        <w:rPr>
          <w:color w:val="7030A0"/>
          <w:sz w:val="24"/>
          <w:szCs w:val="24"/>
        </w:rPr>
        <w:t xml:space="preserve">. For guidance from the Provost, see </w:t>
      </w:r>
      <w:hyperlink r:id="rId10" w:history="1">
        <w:r w:rsidRPr="00CA2776">
          <w:rPr>
            <w:rStyle w:val="Hyperlink"/>
            <w:color w:val="0070C0"/>
            <w:sz w:val="24"/>
            <w:szCs w:val="24"/>
          </w:rPr>
          <w:t>Developing Course Level Outcomes</w:t>
        </w:r>
      </w:hyperlink>
      <w:r w:rsidRPr="00CA2776">
        <w:rPr>
          <w:color w:val="7030A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</w:t>
      </w:r>
      <w:r w:rsidR="00E707EE" w:rsidRPr="00CA2776">
        <w:rPr>
          <w:sz w:val="24"/>
          <w:szCs w:val="24"/>
        </w:rPr>
        <w:t>t the conclusion of this course, students will able to</w:t>
      </w:r>
      <w:r>
        <w:rPr>
          <w:sz w:val="24"/>
          <w:szCs w:val="24"/>
        </w:rPr>
        <w:t>:</w:t>
      </w:r>
    </w:p>
    <w:p w:rsidR="00A75F73" w:rsidRDefault="00A75F73" w:rsidP="002B78E2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</w:p>
    <w:p w:rsidR="00A75F73" w:rsidRDefault="00A75F73" w:rsidP="002B78E2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</w:p>
    <w:p w:rsidR="00E707EE" w:rsidRDefault="00E707EE" w:rsidP="002B78E2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</w:p>
    <w:p w:rsidR="00A75F73" w:rsidRDefault="00A75F73" w:rsidP="002B78E2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</w:p>
    <w:p w:rsidR="00A75F73" w:rsidRDefault="00A75F73" w:rsidP="002B78E2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</w:p>
    <w:p w:rsidR="007B0D6A" w:rsidRPr="00CA2776" w:rsidRDefault="00DA5636" w:rsidP="002B78E2">
      <w:pPr>
        <w:spacing w:after="120" w:line="240" w:lineRule="auto"/>
        <w:rPr>
          <w:color w:val="7030A0"/>
          <w:sz w:val="24"/>
          <w:szCs w:val="24"/>
        </w:rPr>
      </w:pPr>
      <w:r w:rsidRPr="005564F0">
        <w:rPr>
          <w:color w:val="7030A0"/>
          <w:sz w:val="24"/>
          <w:szCs w:val="24"/>
        </w:rPr>
        <w:t xml:space="preserve">Backward Design: The layout of the following </w:t>
      </w:r>
      <w:r w:rsidR="00952D4E">
        <w:rPr>
          <w:color w:val="7030A0"/>
          <w:sz w:val="24"/>
          <w:szCs w:val="24"/>
        </w:rPr>
        <w:t xml:space="preserve">course </w:t>
      </w:r>
      <w:r w:rsidR="00553877">
        <w:rPr>
          <w:color w:val="7030A0"/>
          <w:sz w:val="24"/>
          <w:szCs w:val="24"/>
        </w:rPr>
        <w:t xml:space="preserve">week </w:t>
      </w:r>
      <w:r w:rsidRPr="005564F0">
        <w:rPr>
          <w:color w:val="7030A0"/>
          <w:sz w:val="24"/>
          <w:szCs w:val="24"/>
        </w:rPr>
        <w:t>matrix reflects the stages of course development using backward design. Basically, you start with the end in mind and work forward. Students, of course, will experience each unit moving forward: overview-obj</w:t>
      </w:r>
      <w:r w:rsidR="00553877">
        <w:rPr>
          <w:color w:val="7030A0"/>
          <w:sz w:val="24"/>
          <w:szCs w:val="24"/>
        </w:rPr>
        <w:t>ectives-instruction-assessment.</w:t>
      </w:r>
    </w:p>
    <w:tbl>
      <w:tblPr>
        <w:tblStyle w:val="TableGrid"/>
        <w:tblW w:w="5124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1045"/>
        <w:gridCol w:w="1708"/>
        <w:gridCol w:w="3614"/>
        <w:gridCol w:w="4230"/>
        <w:gridCol w:w="2674"/>
      </w:tblGrid>
      <w:tr w:rsidR="00172998" w:rsidRPr="00907D4B" w:rsidTr="008904EF">
        <w:trPr>
          <w:cantSplit/>
          <w:tblHeader/>
        </w:trPr>
        <w:tc>
          <w:tcPr>
            <w:tcW w:w="1045" w:type="dxa"/>
          </w:tcPr>
          <w:p w:rsidR="00172998" w:rsidRPr="00907D4B" w:rsidRDefault="00172998" w:rsidP="002B78E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Unit/</w:t>
            </w:r>
            <w:r w:rsidR="00CA277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708" w:type="dxa"/>
          </w:tcPr>
          <w:p w:rsidR="00D67A7C" w:rsidRPr="001E3FB7" w:rsidRDefault="00172998" w:rsidP="002B78E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Unit/Week </w:t>
            </w:r>
            <w:r w:rsidRPr="00907D4B">
              <w:rPr>
                <w:b/>
                <w:sz w:val="24"/>
                <w:szCs w:val="24"/>
              </w:rPr>
              <w:t>Objectives</w:t>
            </w:r>
            <w:r w:rsidR="007B47F1" w:rsidRPr="008904EF">
              <w:rPr>
                <w:rStyle w:val="EndnoteReference"/>
                <w:b/>
                <w:sz w:val="28"/>
                <w:szCs w:val="28"/>
              </w:rPr>
              <w:endnoteReference w:id="1"/>
            </w:r>
          </w:p>
        </w:tc>
        <w:tc>
          <w:tcPr>
            <w:tcW w:w="3614" w:type="dxa"/>
          </w:tcPr>
          <w:p w:rsidR="00782500" w:rsidRPr="001E3FB7" w:rsidRDefault="00172998" w:rsidP="002B78E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  <w:r w:rsidR="00AA4A6E">
              <w:rPr>
                <w:b/>
                <w:sz w:val="24"/>
                <w:szCs w:val="24"/>
              </w:rPr>
              <w:t xml:space="preserve">/Evidence of </w:t>
            </w:r>
            <w:r w:rsidR="004134BA">
              <w:rPr>
                <w:b/>
                <w:sz w:val="24"/>
                <w:szCs w:val="24"/>
              </w:rPr>
              <w:t>the Attainment of Unit Objectives</w:t>
            </w:r>
            <w:r w:rsidR="007B47F1" w:rsidRPr="008904EF">
              <w:rPr>
                <w:rStyle w:val="EndnoteReference"/>
                <w:b/>
                <w:sz w:val="28"/>
                <w:szCs w:val="28"/>
              </w:rPr>
              <w:endnoteReference w:id="2"/>
            </w:r>
          </w:p>
        </w:tc>
        <w:tc>
          <w:tcPr>
            <w:tcW w:w="4230" w:type="dxa"/>
          </w:tcPr>
          <w:p w:rsidR="002921A9" w:rsidRPr="00F91F81" w:rsidRDefault="00172998" w:rsidP="002B78E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Experiences and Instruction</w:t>
            </w:r>
            <w:r w:rsidR="00BB3D07" w:rsidRPr="008904EF">
              <w:rPr>
                <w:rStyle w:val="EndnoteReference"/>
                <w:b/>
                <w:sz w:val="28"/>
                <w:szCs w:val="28"/>
              </w:rPr>
              <w:endnoteReference w:id="3"/>
            </w:r>
          </w:p>
        </w:tc>
        <w:tc>
          <w:tcPr>
            <w:tcW w:w="2674" w:type="dxa"/>
          </w:tcPr>
          <w:p w:rsidR="00587858" w:rsidRPr="00F91F81" w:rsidRDefault="00172998" w:rsidP="002B78E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Unit/Week Overview</w:t>
            </w:r>
            <w:r w:rsidR="004042B1">
              <w:rPr>
                <w:b/>
                <w:sz w:val="24"/>
                <w:szCs w:val="24"/>
              </w:rPr>
              <w:t xml:space="preserve"> []</w:t>
            </w:r>
            <w:r w:rsidR="0038607C" w:rsidRPr="008904EF">
              <w:rPr>
                <w:rStyle w:val="EndnoteReference"/>
                <w:b/>
                <w:sz w:val="28"/>
                <w:szCs w:val="28"/>
              </w:rPr>
              <w:endnoteReference w:id="4"/>
            </w: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8904EF" w:rsidRDefault="00CE067B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  <w:sz w:val="28"/>
                <w:szCs w:val="28"/>
              </w:rPr>
            </w:pPr>
            <w:r w:rsidRPr="008904EF">
              <w:rPr>
                <w:rStyle w:val="EndnoteReference"/>
                <w:b/>
                <w:sz w:val="28"/>
                <w:szCs w:val="28"/>
              </w:rPr>
              <w:endnoteReference w:id="5"/>
            </w:r>
          </w:p>
        </w:tc>
        <w:tc>
          <w:tcPr>
            <w:tcW w:w="1708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14" w:type="dxa"/>
          </w:tcPr>
          <w:p w:rsidR="00172998" w:rsidRPr="007F3842" w:rsidRDefault="00172998" w:rsidP="002B78E2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4B056E" w:rsidRDefault="00172998" w:rsidP="002B78E2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4B056E" w:rsidRDefault="00172998" w:rsidP="002B78E2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4B056E" w:rsidRDefault="00172998" w:rsidP="002B78E2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4B056E" w:rsidRDefault="00172998" w:rsidP="002B78E2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722C5A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ascii="Times" w:eastAsia="Times New Roman" w:hAnsi="Times" w:cs="Times New Roman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1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  <w:tr w:rsidR="00172998" w:rsidTr="008904EF">
        <w:trPr>
          <w:cantSplit/>
        </w:trPr>
        <w:tc>
          <w:tcPr>
            <w:tcW w:w="1045" w:type="dxa"/>
          </w:tcPr>
          <w:p w:rsidR="00172998" w:rsidRPr="004B056E" w:rsidRDefault="00172998" w:rsidP="002B78E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b/>
              </w:rPr>
            </w:pPr>
          </w:p>
        </w:tc>
        <w:tc>
          <w:tcPr>
            <w:tcW w:w="1708" w:type="dxa"/>
          </w:tcPr>
          <w:p w:rsidR="00172998" w:rsidRPr="00F75D97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</w:tcPr>
          <w:p w:rsidR="00172998" w:rsidRPr="00CD190C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74" w:type="dxa"/>
          </w:tcPr>
          <w:p w:rsidR="00172998" w:rsidRPr="00A71BEF" w:rsidRDefault="00172998" w:rsidP="002B78E2">
            <w:pPr>
              <w:pStyle w:val="ListParagraph"/>
              <w:spacing w:after="120" w:line="240" w:lineRule="auto"/>
              <w:ind w:left="72"/>
              <w:contextualSpacing w:val="0"/>
              <w:rPr>
                <w:sz w:val="18"/>
                <w:szCs w:val="18"/>
              </w:rPr>
            </w:pPr>
          </w:p>
        </w:tc>
      </w:tr>
    </w:tbl>
    <w:p w:rsidR="00CB73FF" w:rsidRDefault="00CB73FF" w:rsidP="002B78E2">
      <w:pPr>
        <w:spacing w:after="120" w:line="240" w:lineRule="auto"/>
      </w:pPr>
    </w:p>
    <w:p w:rsidR="00CE067B" w:rsidRPr="00C2141F" w:rsidRDefault="00CE067B" w:rsidP="002B78E2">
      <w:pPr>
        <w:spacing w:after="120" w:line="240" w:lineRule="auto"/>
        <w:rPr>
          <w:sz w:val="24"/>
          <w:szCs w:val="24"/>
        </w:rPr>
      </w:pPr>
      <w:r w:rsidRPr="00C2141F">
        <w:rPr>
          <w:sz w:val="24"/>
          <w:szCs w:val="24"/>
        </w:rPr>
        <w:t xml:space="preserve">Accessibility: All course materials should be developed </w:t>
      </w:r>
      <w:r w:rsidR="005F5F27">
        <w:rPr>
          <w:sz w:val="24"/>
          <w:szCs w:val="24"/>
        </w:rPr>
        <w:t>as</w:t>
      </w:r>
      <w:r w:rsidR="0072031B" w:rsidRPr="00C2141F">
        <w:rPr>
          <w:sz w:val="24"/>
          <w:szCs w:val="24"/>
        </w:rPr>
        <w:t xml:space="preserve"> </w:t>
      </w:r>
      <w:hyperlink r:id="rId11" w:history="1">
        <w:r w:rsidR="0072031B" w:rsidRPr="004B290B">
          <w:rPr>
            <w:rStyle w:val="Hyperlink"/>
            <w:color w:val="0070C0"/>
            <w:sz w:val="24"/>
            <w:szCs w:val="24"/>
          </w:rPr>
          <w:t>accessible</w:t>
        </w:r>
      </w:hyperlink>
      <w:r w:rsidRPr="00C2141F">
        <w:rPr>
          <w:sz w:val="24"/>
          <w:szCs w:val="24"/>
        </w:rPr>
        <w:t>.</w:t>
      </w:r>
    </w:p>
    <w:p w:rsidR="00273090" w:rsidRDefault="00A3370D" w:rsidP="002B78E2">
      <w:pPr>
        <w:spacing w:after="120" w:line="240" w:lineRule="auto"/>
        <w:rPr>
          <w:sz w:val="24"/>
          <w:szCs w:val="24"/>
        </w:rPr>
      </w:pPr>
      <w:r w:rsidRPr="00C2141F">
        <w:rPr>
          <w:sz w:val="24"/>
          <w:szCs w:val="24"/>
        </w:rPr>
        <w:t xml:space="preserve">Drexel INSPIRE provides </w:t>
      </w:r>
      <w:r w:rsidR="005576BD">
        <w:rPr>
          <w:sz w:val="24"/>
          <w:szCs w:val="24"/>
        </w:rPr>
        <w:t xml:space="preserve">additional guidance </w:t>
      </w:r>
      <w:r w:rsidRPr="00C2141F">
        <w:rPr>
          <w:sz w:val="24"/>
          <w:szCs w:val="24"/>
        </w:rPr>
        <w:t xml:space="preserve">to help </w:t>
      </w:r>
      <w:hyperlink r:id="rId12" w:history="1">
        <w:r w:rsidRPr="004B290B">
          <w:rPr>
            <w:rStyle w:val="Hyperlink"/>
            <w:color w:val="0070C0"/>
            <w:sz w:val="24"/>
            <w:szCs w:val="24"/>
          </w:rPr>
          <w:t>develop your course</w:t>
        </w:r>
      </w:hyperlink>
      <w:r w:rsidRPr="00C2141F">
        <w:rPr>
          <w:sz w:val="24"/>
          <w:szCs w:val="24"/>
        </w:rPr>
        <w:t>.</w:t>
      </w:r>
    </w:p>
    <w:p w:rsidR="00273090" w:rsidRDefault="00273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70D" w:rsidRPr="00273090" w:rsidRDefault="00273090" w:rsidP="002B78E2">
      <w:pPr>
        <w:spacing w:after="120" w:line="240" w:lineRule="auto"/>
        <w:rPr>
          <w:b/>
          <w:sz w:val="24"/>
          <w:szCs w:val="24"/>
        </w:rPr>
      </w:pPr>
      <w:r w:rsidRPr="00273090">
        <w:rPr>
          <w:b/>
          <w:sz w:val="24"/>
          <w:szCs w:val="24"/>
        </w:rPr>
        <w:lastRenderedPageBreak/>
        <w:t>Endnotes</w:t>
      </w:r>
    </w:p>
    <w:sectPr w:rsidR="00A3370D" w:rsidRPr="00273090" w:rsidSect="00FD08DA">
      <w:headerReference w:type="default" r:id="rId13"/>
      <w:footerReference w:type="even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C5" w:rsidRDefault="00D373C5" w:rsidP="00F91F81">
      <w:pPr>
        <w:spacing w:after="0" w:line="240" w:lineRule="auto"/>
      </w:pPr>
      <w:r>
        <w:separator/>
      </w:r>
    </w:p>
  </w:endnote>
  <w:endnote w:type="continuationSeparator" w:id="0">
    <w:p w:rsidR="00D373C5" w:rsidRDefault="00D373C5" w:rsidP="00F91F81">
      <w:pPr>
        <w:spacing w:after="0" w:line="240" w:lineRule="auto"/>
      </w:pPr>
      <w:r>
        <w:continuationSeparator/>
      </w:r>
    </w:p>
  </w:endnote>
  <w:endnote w:id="1">
    <w:p w:rsidR="007B47F1" w:rsidRPr="00CA2776" w:rsidRDefault="007B47F1" w:rsidP="001E3FB7">
      <w:pPr>
        <w:pStyle w:val="FootnoteText"/>
        <w:rPr>
          <w:sz w:val="24"/>
          <w:szCs w:val="24"/>
        </w:rPr>
      </w:pPr>
      <w:r w:rsidRPr="008904EF">
        <w:rPr>
          <w:rStyle w:val="EndnoteReference"/>
          <w:b/>
          <w:sz w:val="28"/>
          <w:szCs w:val="28"/>
        </w:rPr>
        <w:endnoteRef/>
      </w:r>
      <w:r w:rsidRPr="008904EF">
        <w:rPr>
          <w:b/>
          <w:sz w:val="28"/>
          <w:szCs w:val="28"/>
        </w:rPr>
        <w:t xml:space="preserve"> </w:t>
      </w:r>
      <w:r w:rsidR="004E25D8" w:rsidRPr="00907D4B">
        <w:rPr>
          <w:b/>
          <w:sz w:val="24"/>
          <w:szCs w:val="24"/>
        </w:rPr>
        <w:t>Objectives</w:t>
      </w:r>
      <w:r w:rsidR="004E25D8">
        <w:rPr>
          <w:b/>
          <w:sz w:val="24"/>
          <w:szCs w:val="24"/>
        </w:rPr>
        <w:t>:</w:t>
      </w:r>
      <w:r w:rsidR="004E25D8" w:rsidRPr="00DA5636">
        <w:rPr>
          <w:sz w:val="24"/>
          <w:szCs w:val="24"/>
        </w:rPr>
        <w:t xml:space="preserve"> </w:t>
      </w:r>
      <w:r w:rsidR="001E3FB7" w:rsidRPr="00DA5636">
        <w:rPr>
          <w:sz w:val="24"/>
          <w:szCs w:val="24"/>
        </w:rPr>
        <w:t xml:space="preserve">Weekly objectives stem from (and add up to) the course’s Statement of Expected Learning. Pinpoint 3-5 observable, measurable </w:t>
      </w:r>
      <w:r w:rsidR="005576BD">
        <w:rPr>
          <w:sz w:val="24"/>
          <w:szCs w:val="24"/>
        </w:rPr>
        <w:t>action-oriented objectives</w:t>
      </w:r>
      <w:r w:rsidR="001E3FB7" w:rsidRPr="00DA5636">
        <w:rPr>
          <w:sz w:val="24"/>
          <w:szCs w:val="24"/>
        </w:rPr>
        <w:t xml:space="preserve"> that address higher order</w:t>
      </w:r>
      <w:r w:rsidR="001E3FB7" w:rsidRPr="00CA2776">
        <w:rPr>
          <w:sz w:val="24"/>
          <w:szCs w:val="24"/>
        </w:rPr>
        <w:t xml:space="preserve"> </w:t>
      </w:r>
      <w:r w:rsidR="005576BD">
        <w:rPr>
          <w:sz w:val="24"/>
          <w:szCs w:val="24"/>
        </w:rPr>
        <w:t>learning</w:t>
      </w:r>
      <w:r w:rsidR="001E3FB7" w:rsidRPr="00CA2776">
        <w:rPr>
          <w:sz w:val="24"/>
          <w:szCs w:val="24"/>
        </w:rPr>
        <w:t xml:space="preserve"> skills from </w:t>
      </w:r>
      <w:hyperlink r:id="rId1" w:history="1">
        <w:r w:rsidR="001E3FB7" w:rsidRPr="004B290B">
          <w:rPr>
            <w:rStyle w:val="Hyperlink"/>
            <w:color w:val="0070C0"/>
            <w:sz w:val="24"/>
            <w:szCs w:val="24"/>
          </w:rPr>
          <w:t>Bloom’s Taxonomy</w:t>
        </w:r>
      </w:hyperlink>
      <w:r w:rsidR="001E3FB7" w:rsidRPr="00CA2776">
        <w:rPr>
          <w:sz w:val="24"/>
          <w:szCs w:val="24"/>
        </w:rPr>
        <w:t xml:space="preserve">. Be sure </w:t>
      </w:r>
      <w:r w:rsidR="005576BD">
        <w:rPr>
          <w:sz w:val="24"/>
          <w:szCs w:val="24"/>
        </w:rPr>
        <w:t xml:space="preserve">to </w:t>
      </w:r>
      <w:r w:rsidR="001E3FB7" w:rsidRPr="00CA2776">
        <w:rPr>
          <w:sz w:val="24"/>
          <w:szCs w:val="24"/>
        </w:rPr>
        <w:t>specify objectives (what student will learn) rather than tasks (work student will perform).</w:t>
      </w:r>
      <w:r w:rsidR="000C76CB">
        <w:rPr>
          <w:sz w:val="24"/>
          <w:szCs w:val="24"/>
        </w:rPr>
        <w:br/>
      </w:r>
    </w:p>
  </w:endnote>
  <w:endnote w:id="2">
    <w:p w:rsidR="007B47F1" w:rsidRPr="00CA2776" w:rsidRDefault="007B47F1" w:rsidP="007B47F1">
      <w:pPr>
        <w:spacing w:after="40" w:line="240" w:lineRule="auto"/>
        <w:rPr>
          <w:sz w:val="24"/>
          <w:szCs w:val="24"/>
        </w:rPr>
      </w:pPr>
      <w:r w:rsidRPr="008904EF">
        <w:rPr>
          <w:rStyle w:val="EndnoteReference"/>
          <w:b/>
          <w:sz w:val="28"/>
          <w:szCs w:val="28"/>
        </w:rPr>
        <w:endnoteRef/>
      </w:r>
      <w:r w:rsidRPr="008904EF">
        <w:rPr>
          <w:b/>
          <w:sz w:val="28"/>
          <w:szCs w:val="28"/>
        </w:rPr>
        <w:t xml:space="preserve"> </w:t>
      </w:r>
      <w:r w:rsidRPr="004E25D8">
        <w:rPr>
          <w:b/>
          <w:sz w:val="24"/>
          <w:szCs w:val="24"/>
        </w:rPr>
        <w:t>Assessment</w:t>
      </w:r>
      <w:r w:rsidR="004E25D8">
        <w:rPr>
          <w:sz w:val="24"/>
          <w:szCs w:val="24"/>
        </w:rPr>
        <w:t>: M</w:t>
      </w:r>
      <w:r w:rsidRPr="00CA2776">
        <w:rPr>
          <w:sz w:val="24"/>
          <w:szCs w:val="24"/>
        </w:rPr>
        <w:t>eans by which an instructor measures and communicates with students about their progress in achieving learning objectives:</w:t>
      </w:r>
    </w:p>
    <w:p w:rsidR="007B47F1" w:rsidRPr="00CA2776" w:rsidRDefault="007B47F1" w:rsidP="007B47F1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Include specific criteria of how work will be assessed (e.g., rubric)</w:t>
      </w:r>
    </w:p>
    <w:p w:rsidR="007B47F1" w:rsidRPr="00CA2776" w:rsidRDefault="007B47F1" w:rsidP="007B47F1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Includ</w:t>
      </w:r>
      <w:r w:rsidR="00602B5C">
        <w:rPr>
          <w:sz w:val="24"/>
          <w:szCs w:val="24"/>
        </w:rPr>
        <w:t>e</w:t>
      </w:r>
      <w:r w:rsidR="005B7005">
        <w:rPr>
          <w:sz w:val="24"/>
          <w:szCs w:val="24"/>
        </w:rPr>
        <w:t xml:space="preserve"> varied and</w:t>
      </w:r>
      <w:r w:rsidRPr="00CA2776">
        <w:rPr>
          <w:sz w:val="24"/>
          <w:szCs w:val="24"/>
        </w:rPr>
        <w:t xml:space="preserve"> </w:t>
      </w:r>
      <w:hyperlink r:id="rId2" w:history="1">
        <w:r w:rsidR="005B7005">
          <w:rPr>
            <w:rStyle w:val="Hyperlink"/>
            <w:sz w:val="24"/>
            <w:szCs w:val="24"/>
          </w:rPr>
          <w:t>formative and summative assessments</w:t>
        </w:r>
      </w:hyperlink>
      <w:r w:rsidRPr="00CA2776">
        <w:rPr>
          <w:sz w:val="24"/>
          <w:szCs w:val="24"/>
        </w:rPr>
        <w:t xml:space="preserve"> </w:t>
      </w:r>
    </w:p>
    <w:p w:rsidR="007B47F1" w:rsidRPr="00CA2776" w:rsidRDefault="007B47F1" w:rsidP="007B47F1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 xml:space="preserve">Pace assessments throughout course, providing at least one before </w:t>
      </w:r>
      <w:hyperlink r:id="rId3" w:history="1">
        <w:r w:rsidRPr="005B7005">
          <w:rPr>
            <w:rStyle w:val="Hyperlink"/>
            <w:color w:val="0070C0"/>
            <w:sz w:val="24"/>
            <w:szCs w:val="24"/>
          </w:rPr>
          <w:t>Drop period ends</w:t>
        </w:r>
      </w:hyperlink>
      <w:r w:rsidRPr="005B7005">
        <w:rPr>
          <w:color w:val="0070C0"/>
          <w:sz w:val="24"/>
          <w:szCs w:val="24"/>
        </w:rPr>
        <w:t>.</w:t>
      </w:r>
    </w:p>
    <w:p w:rsidR="0038607C" w:rsidRDefault="007B47F1" w:rsidP="000C76CB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CA2776">
        <w:rPr>
          <w:sz w:val="24"/>
          <w:szCs w:val="24"/>
        </w:rPr>
        <w:t>Examples: Paper, Test, Quiz, Discussion Board, self- and peer-assessed project</w:t>
      </w:r>
    </w:p>
    <w:p w:rsidR="0072031B" w:rsidRPr="0072031B" w:rsidRDefault="0072031B" w:rsidP="0072031B">
      <w:pPr>
        <w:autoSpaceDE w:val="0"/>
        <w:autoSpaceDN w:val="0"/>
        <w:adjustRightInd w:val="0"/>
        <w:spacing w:after="0" w:line="225" w:lineRule="atLeast"/>
        <w:rPr>
          <w:rFonts w:eastAsiaTheme="minorHAnsi" w:cs="Times"/>
          <w:color w:val="000000"/>
          <w:sz w:val="24"/>
          <w:szCs w:val="24"/>
        </w:rPr>
      </w:pPr>
      <w:r>
        <w:rPr>
          <w:sz w:val="24"/>
          <w:szCs w:val="24"/>
        </w:rPr>
        <w:t xml:space="preserve">For more </w:t>
      </w:r>
      <w:r w:rsidR="000C76CB">
        <w:rPr>
          <w:sz w:val="24"/>
          <w:szCs w:val="24"/>
        </w:rPr>
        <w:t>ideas</w:t>
      </w:r>
      <w:r>
        <w:rPr>
          <w:sz w:val="24"/>
          <w:szCs w:val="24"/>
        </w:rPr>
        <w:t xml:space="preserve">, see </w:t>
      </w:r>
      <w:hyperlink r:id="rId4" w:history="1">
        <w:r w:rsidRPr="005564F0">
          <w:rPr>
            <w:rFonts w:eastAsiaTheme="minorHAnsi" w:cs="Franklin Gothic Book"/>
            <w:color w:val="0000E9"/>
            <w:sz w:val="24"/>
            <w:szCs w:val="24"/>
            <w:u w:val="single" w:color="0000E9"/>
          </w:rPr>
          <w:t>Drexel Provost – Assessment Instruments and Methods</w:t>
        </w:r>
      </w:hyperlink>
      <w:r w:rsidR="000C76CB">
        <w:rPr>
          <w:rFonts w:eastAsiaTheme="minorHAnsi" w:cs="Franklin Gothic Book"/>
          <w:color w:val="000000"/>
          <w:sz w:val="24"/>
          <w:szCs w:val="24"/>
        </w:rPr>
        <w:br/>
      </w:r>
    </w:p>
  </w:endnote>
  <w:endnote w:id="3">
    <w:p w:rsidR="00BB3D07" w:rsidRPr="00CA2776" w:rsidRDefault="00BB3D07" w:rsidP="00D67C57">
      <w:pPr>
        <w:spacing w:after="40" w:line="240" w:lineRule="auto"/>
        <w:rPr>
          <w:sz w:val="24"/>
          <w:szCs w:val="24"/>
        </w:rPr>
      </w:pPr>
      <w:r w:rsidRPr="008904EF">
        <w:rPr>
          <w:rStyle w:val="EndnoteReference"/>
          <w:b/>
          <w:sz w:val="28"/>
          <w:szCs w:val="28"/>
        </w:rPr>
        <w:endnoteRef/>
      </w:r>
      <w:r w:rsidRPr="00D67C57">
        <w:rPr>
          <w:b/>
          <w:sz w:val="28"/>
          <w:szCs w:val="28"/>
        </w:rPr>
        <w:t xml:space="preserve"> </w:t>
      </w:r>
      <w:r w:rsidR="004E25D8">
        <w:rPr>
          <w:b/>
          <w:sz w:val="28"/>
          <w:szCs w:val="28"/>
        </w:rPr>
        <w:t>L</w:t>
      </w:r>
      <w:r w:rsidR="004E25D8">
        <w:rPr>
          <w:b/>
          <w:sz w:val="24"/>
          <w:szCs w:val="24"/>
        </w:rPr>
        <w:t>earning A</w:t>
      </w:r>
      <w:r w:rsidRPr="004E25D8">
        <w:rPr>
          <w:b/>
          <w:sz w:val="24"/>
          <w:szCs w:val="24"/>
        </w:rPr>
        <w:t>ctivities</w:t>
      </w:r>
      <w:r w:rsidR="004E25D8">
        <w:rPr>
          <w:sz w:val="24"/>
          <w:szCs w:val="24"/>
        </w:rPr>
        <w:t>: G</w:t>
      </w:r>
      <w:r w:rsidRPr="00D67C57">
        <w:rPr>
          <w:sz w:val="24"/>
          <w:szCs w:val="24"/>
        </w:rPr>
        <w:t xml:space="preserve">uide students toward meeting the unit’s objectives and </w:t>
      </w:r>
      <w:r w:rsidR="004E25D8">
        <w:rPr>
          <w:sz w:val="24"/>
          <w:szCs w:val="24"/>
        </w:rPr>
        <w:t xml:space="preserve">toward </w:t>
      </w:r>
      <w:r w:rsidRPr="00D67C57">
        <w:rPr>
          <w:sz w:val="24"/>
          <w:szCs w:val="24"/>
        </w:rPr>
        <w:t xml:space="preserve">accomplishing the unit’s assessment. Learning activities are student-directed and reinforce key concepts. </w:t>
      </w:r>
      <w:r w:rsidR="00D67C57" w:rsidRPr="00D67C57">
        <w:rPr>
          <w:sz w:val="24"/>
          <w:szCs w:val="24"/>
        </w:rPr>
        <w:t xml:space="preserve">Activities can be a form of assessment, but not </w:t>
      </w:r>
      <w:r w:rsidR="00D67C57">
        <w:rPr>
          <w:sz w:val="24"/>
          <w:szCs w:val="24"/>
        </w:rPr>
        <w:t>necessarily a formal assessment. They c</w:t>
      </w:r>
      <w:r w:rsidR="00D67C57" w:rsidRPr="00D67C57">
        <w:rPr>
          <w:sz w:val="24"/>
          <w:szCs w:val="24"/>
        </w:rPr>
        <w:t>an provide a forum for formative feedback, but doesn’t have to be graded</w:t>
      </w:r>
      <w:r w:rsidR="00D67C57">
        <w:rPr>
          <w:sz w:val="24"/>
          <w:szCs w:val="24"/>
        </w:rPr>
        <w:t>.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Explain the purpose and how the activity fits into the unit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 xml:space="preserve">Describe the activity clearly 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Specify which activities are required and which are recommended or optional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Scaffold appropriately (</w:t>
      </w:r>
      <w:r w:rsidR="00D67C57">
        <w:rPr>
          <w:sz w:val="24"/>
          <w:szCs w:val="24"/>
        </w:rPr>
        <w:t xml:space="preserve">create </w:t>
      </w:r>
      <w:r w:rsidRPr="00CA2776">
        <w:rPr>
          <w:sz w:val="24"/>
          <w:szCs w:val="24"/>
        </w:rPr>
        <w:t xml:space="preserve">incremental steps </w:t>
      </w:r>
      <w:r w:rsidR="00D67C57">
        <w:rPr>
          <w:sz w:val="24"/>
          <w:szCs w:val="24"/>
        </w:rPr>
        <w:t xml:space="preserve">of </w:t>
      </w:r>
      <w:r w:rsidRPr="00CA2776">
        <w:rPr>
          <w:sz w:val="24"/>
          <w:szCs w:val="24"/>
        </w:rPr>
        <w:t>skill building)</w:t>
      </w:r>
    </w:p>
    <w:p w:rsidR="00BB3D07" w:rsidRPr="00CA2776" w:rsidRDefault="00BB3D07" w:rsidP="00BB3D07">
      <w:pPr>
        <w:numPr>
          <w:ilvl w:val="0"/>
          <w:numId w:val="4"/>
        </w:num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 xml:space="preserve">Vary the instruction type 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Interactive modes include:</w:t>
      </w:r>
    </w:p>
    <w:p w:rsidR="00BB3D07" w:rsidRPr="00CA2776" w:rsidRDefault="00BB3D07" w:rsidP="00BB3D07">
      <w:pPr>
        <w:pStyle w:val="ListParagraph"/>
        <w:numPr>
          <w:ilvl w:val="1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Student &amp; content</w:t>
      </w:r>
      <w:r w:rsidR="00D67C57">
        <w:rPr>
          <w:sz w:val="24"/>
          <w:szCs w:val="24"/>
        </w:rPr>
        <w:t>: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Interactive video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Self-check quiz</w:t>
      </w:r>
    </w:p>
    <w:p w:rsidR="00BB3D07" w:rsidRPr="00CA2776" w:rsidRDefault="00BB3D07" w:rsidP="00BB3D07">
      <w:pPr>
        <w:pStyle w:val="ListParagraph"/>
        <w:numPr>
          <w:ilvl w:val="1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Student &amp; students</w:t>
      </w:r>
      <w:r w:rsidR="00D67C57">
        <w:rPr>
          <w:sz w:val="24"/>
          <w:szCs w:val="24"/>
        </w:rPr>
        <w:t>: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Discussion Board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Peer review</w:t>
      </w:r>
    </w:p>
    <w:p w:rsidR="00BB3D07" w:rsidRPr="00CA2776" w:rsidRDefault="00BB3D07" w:rsidP="00BB3D07">
      <w:pPr>
        <w:pStyle w:val="ListParagraph"/>
        <w:numPr>
          <w:ilvl w:val="1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Student &amp; instructor</w:t>
      </w:r>
      <w:r w:rsidR="00D67C57">
        <w:rPr>
          <w:sz w:val="24"/>
          <w:szCs w:val="24"/>
        </w:rPr>
        <w:t>: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Reflections with instructor feedback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Discussion Board</w:t>
      </w:r>
    </w:p>
    <w:p w:rsidR="00BB3D07" w:rsidRPr="00CA2776" w:rsidRDefault="00BB3D07" w:rsidP="00BB3D07">
      <w:pPr>
        <w:pStyle w:val="ListParagraph"/>
        <w:numPr>
          <w:ilvl w:val="1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Student &amp; real-world/authentic environments</w:t>
      </w:r>
      <w:r w:rsidR="00D67C57">
        <w:rPr>
          <w:sz w:val="24"/>
          <w:szCs w:val="24"/>
        </w:rPr>
        <w:t>: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Publishing student work outside learning space</w:t>
      </w:r>
    </w:p>
    <w:p w:rsidR="00BB3D07" w:rsidRPr="00CA2776" w:rsidRDefault="00BB3D07" w:rsidP="00BB3D07">
      <w:pPr>
        <w:pStyle w:val="ListParagraph"/>
        <w:numPr>
          <w:ilvl w:val="2"/>
          <w:numId w:val="4"/>
        </w:numPr>
        <w:spacing w:after="40" w:line="240" w:lineRule="auto"/>
        <w:contextualSpacing w:val="0"/>
        <w:rPr>
          <w:b/>
          <w:sz w:val="24"/>
          <w:szCs w:val="24"/>
        </w:rPr>
      </w:pPr>
      <w:r w:rsidRPr="00CA2776">
        <w:rPr>
          <w:sz w:val="24"/>
          <w:szCs w:val="24"/>
        </w:rPr>
        <w:t>Interacting outside learning space</w:t>
      </w:r>
    </w:p>
    <w:p w:rsidR="00BB3D07" w:rsidRPr="00CA2776" w:rsidRDefault="00BB3D07" w:rsidP="00BB3D0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b/>
          <w:sz w:val="24"/>
          <w:szCs w:val="24"/>
        </w:rPr>
      </w:pPr>
      <w:r w:rsidRPr="00CA2776">
        <w:rPr>
          <w:sz w:val="24"/>
          <w:szCs w:val="24"/>
        </w:rPr>
        <w:t>Passive content delivery methods include:</w:t>
      </w:r>
    </w:p>
    <w:p w:rsidR="00BB3D07" w:rsidRPr="00CA2776" w:rsidRDefault="00BB3D07" w:rsidP="00BB3D07">
      <w:pPr>
        <w:numPr>
          <w:ilvl w:val="1"/>
          <w:numId w:val="4"/>
        </w:num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 xml:space="preserve">Video: instructor lecture, interviews, </w:t>
      </w:r>
      <w:hyperlink r:id="rId5" w:history="1">
        <w:r w:rsidRPr="004B290B">
          <w:rPr>
            <w:rStyle w:val="Hyperlink"/>
            <w:color w:val="0070C0"/>
            <w:sz w:val="24"/>
            <w:szCs w:val="24"/>
          </w:rPr>
          <w:t>YouTube</w:t>
        </w:r>
      </w:hyperlink>
      <w:r w:rsidRPr="004B290B">
        <w:rPr>
          <w:color w:val="0070C0"/>
          <w:sz w:val="24"/>
          <w:szCs w:val="24"/>
        </w:rPr>
        <w:t xml:space="preserve">, </w:t>
      </w:r>
      <w:hyperlink r:id="rId6" w:history="1">
        <w:r w:rsidRPr="004B290B">
          <w:rPr>
            <w:rStyle w:val="Hyperlink"/>
            <w:color w:val="0070C0"/>
            <w:sz w:val="24"/>
            <w:szCs w:val="24"/>
          </w:rPr>
          <w:t>NBC Learn</w:t>
        </w:r>
      </w:hyperlink>
      <w:r w:rsidRPr="004B290B">
        <w:rPr>
          <w:color w:val="0070C0"/>
          <w:sz w:val="24"/>
          <w:szCs w:val="24"/>
        </w:rPr>
        <w:t xml:space="preserve">, </w:t>
      </w:r>
      <w:hyperlink r:id="rId7" w:history="1">
        <w:r w:rsidRPr="004B290B">
          <w:rPr>
            <w:rStyle w:val="Hyperlink"/>
            <w:color w:val="0070C0"/>
            <w:sz w:val="24"/>
            <w:szCs w:val="24"/>
          </w:rPr>
          <w:t>Ted Talks</w:t>
        </w:r>
      </w:hyperlink>
      <w:r w:rsidRPr="004B290B">
        <w:rPr>
          <w:color w:val="0070C0"/>
          <w:sz w:val="24"/>
          <w:szCs w:val="24"/>
        </w:rPr>
        <w:t xml:space="preserve">, </w:t>
      </w:r>
      <w:hyperlink r:id="rId8" w:history="1">
        <w:r w:rsidRPr="004B290B">
          <w:rPr>
            <w:rStyle w:val="Hyperlink"/>
            <w:color w:val="0070C0"/>
            <w:sz w:val="24"/>
            <w:szCs w:val="24"/>
          </w:rPr>
          <w:t>Vimeo</w:t>
        </w:r>
      </w:hyperlink>
    </w:p>
    <w:p w:rsidR="00BB3D07" w:rsidRPr="00CA2776" w:rsidRDefault="00BB3D07" w:rsidP="00BB3D07">
      <w:pPr>
        <w:numPr>
          <w:ilvl w:val="1"/>
          <w:numId w:val="4"/>
        </w:num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>Presentation w/ notes and/or audio</w:t>
      </w:r>
    </w:p>
    <w:p w:rsidR="00BB3D07" w:rsidRPr="00CA2776" w:rsidRDefault="00BB3D07" w:rsidP="00BB3D07">
      <w:pPr>
        <w:numPr>
          <w:ilvl w:val="1"/>
          <w:numId w:val="4"/>
        </w:num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>Visual: Chart, graph</w:t>
      </w:r>
    </w:p>
    <w:p w:rsidR="00BB3D07" w:rsidRDefault="00BB3D07" w:rsidP="00416FFE">
      <w:pPr>
        <w:numPr>
          <w:ilvl w:val="1"/>
          <w:numId w:val="4"/>
        </w:num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>Online resources, e.g. web sites, online games &amp; scenarios</w:t>
      </w:r>
    </w:p>
    <w:p w:rsidR="00C2141F" w:rsidRPr="000C76CB" w:rsidRDefault="00C2141F" w:rsidP="000C76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25" w:lineRule="atLeast"/>
        <w:rPr>
          <w:rFonts w:eastAsiaTheme="minorHAnsi" w:cs="Times"/>
          <w:color w:val="000000"/>
          <w:sz w:val="24"/>
          <w:szCs w:val="24"/>
        </w:rPr>
      </w:pPr>
      <w:r w:rsidRPr="000C76CB">
        <w:rPr>
          <w:sz w:val="24"/>
          <w:szCs w:val="24"/>
        </w:rPr>
        <w:t>Readings</w:t>
      </w:r>
      <w:r w:rsidR="009A04C8" w:rsidRPr="000C76CB">
        <w:rPr>
          <w:sz w:val="24"/>
          <w:szCs w:val="24"/>
        </w:rPr>
        <w:t xml:space="preserve">: textbook, articles through </w:t>
      </w:r>
      <w:hyperlink r:id="rId9" w:history="1">
        <w:r w:rsidR="009A04C8" w:rsidRPr="000C76CB">
          <w:rPr>
            <w:rStyle w:val="Hyperlink"/>
            <w:sz w:val="24"/>
            <w:szCs w:val="24"/>
          </w:rPr>
          <w:t>Drexel Libraries</w:t>
        </w:r>
      </w:hyperlink>
      <w:r w:rsidR="000C76CB">
        <w:rPr>
          <w:sz w:val="24"/>
          <w:szCs w:val="24"/>
        </w:rPr>
        <w:br/>
      </w:r>
    </w:p>
  </w:endnote>
  <w:endnote w:id="4">
    <w:p w:rsidR="0038607C" w:rsidRPr="00CA2776" w:rsidRDefault="0038607C" w:rsidP="0038607C">
      <w:pPr>
        <w:spacing w:after="40" w:line="240" w:lineRule="auto"/>
        <w:rPr>
          <w:sz w:val="24"/>
          <w:szCs w:val="24"/>
        </w:rPr>
      </w:pPr>
      <w:r w:rsidRPr="008904EF">
        <w:rPr>
          <w:rStyle w:val="EndnoteReference"/>
          <w:b/>
          <w:sz w:val="28"/>
          <w:szCs w:val="28"/>
        </w:rPr>
        <w:endnoteRef/>
      </w:r>
      <w:r w:rsidRPr="008904EF">
        <w:rPr>
          <w:b/>
          <w:sz w:val="28"/>
          <w:szCs w:val="28"/>
        </w:rPr>
        <w:t xml:space="preserve"> </w:t>
      </w:r>
      <w:r w:rsidR="004E25D8">
        <w:rPr>
          <w:b/>
          <w:sz w:val="24"/>
          <w:szCs w:val="24"/>
        </w:rPr>
        <w:t xml:space="preserve">Overview: </w:t>
      </w:r>
      <w:r w:rsidR="001E3FB7" w:rsidRPr="00416FFE">
        <w:rPr>
          <w:sz w:val="24"/>
          <w:szCs w:val="24"/>
        </w:rPr>
        <w:t>Brief description of the experience of the unit</w:t>
      </w:r>
      <w:r w:rsidR="009A6DA8">
        <w:rPr>
          <w:sz w:val="24"/>
          <w:szCs w:val="24"/>
        </w:rPr>
        <w:t xml:space="preserve">. </w:t>
      </w:r>
      <w:r w:rsidR="00416FFE">
        <w:rPr>
          <w:sz w:val="24"/>
          <w:szCs w:val="24"/>
        </w:rPr>
        <w:t>Q</w:t>
      </w:r>
      <w:r w:rsidRPr="00CA2776">
        <w:rPr>
          <w:sz w:val="24"/>
          <w:szCs w:val="24"/>
        </w:rPr>
        <w:t>uestions to address include:</w:t>
      </w:r>
    </w:p>
    <w:p w:rsidR="0038607C" w:rsidRPr="00CA2776" w:rsidRDefault="0038607C" w:rsidP="0038607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How does the unit’s content fit into the overall course?</w:t>
      </w:r>
    </w:p>
    <w:p w:rsidR="0038607C" w:rsidRPr="00CA2776" w:rsidRDefault="0038607C" w:rsidP="0038607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What is the pertinent background information?</w:t>
      </w:r>
    </w:p>
    <w:p w:rsidR="0038607C" w:rsidRPr="00CA2776" w:rsidRDefault="0038607C" w:rsidP="0038607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How does content relate to practice/real-world experiences?</w:t>
      </w:r>
    </w:p>
    <w:p w:rsidR="0038607C" w:rsidRPr="00CA2776" w:rsidRDefault="0038607C" w:rsidP="0038607C">
      <w:pPr>
        <w:spacing w:after="40" w:line="240" w:lineRule="auto"/>
        <w:rPr>
          <w:sz w:val="24"/>
          <w:szCs w:val="24"/>
        </w:rPr>
      </w:pPr>
      <w:r w:rsidRPr="00CA2776">
        <w:rPr>
          <w:sz w:val="24"/>
          <w:szCs w:val="24"/>
        </w:rPr>
        <w:t>The overview may also include:</w:t>
      </w:r>
    </w:p>
    <w:p w:rsidR="0038607C" w:rsidRPr="00CA2776" w:rsidRDefault="0038607C" w:rsidP="0038607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A preview of what the students will be doing in the current week</w:t>
      </w:r>
    </w:p>
    <w:p w:rsidR="0038607C" w:rsidRPr="00CA2776" w:rsidRDefault="0038607C" w:rsidP="0038607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4"/>
          <w:szCs w:val="24"/>
        </w:rPr>
      </w:pPr>
      <w:r w:rsidRPr="00CA2776">
        <w:rPr>
          <w:sz w:val="24"/>
          <w:szCs w:val="24"/>
        </w:rPr>
        <w:t>Advance organizer</w:t>
      </w:r>
    </w:p>
    <w:p w:rsidR="0038607C" w:rsidRDefault="0038607C" w:rsidP="009A6DA8">
      <w:pPr>
        <w:pStyle w:val="EndnoteText"/>
        <w:numPr>
          <w:ilvl w:val="0"/>
          <w:numId w:val="3"/>
        </w:numPr>
      </w:pPr>
      <w:r w:rsidRPr="00CA2776">
        <w:rPr>
          <w:sz w:val="24"/>
          <w:szCs w:val="24"/>
        </w:rPr>
        <w:t>Schedule</w:t>
      </w:r>
      <w:r w:rsidR="004E25D8">
        <w:rPr>
          <w:sz w:val="24"/>
          <w:szCs w:val="24"/>
        </w:rPr>
        <w:br/>
      </w:r>
    </w:p>
  </w:endnote>
  <w:endnote w:id="5">
    <w:p w:rsidR="00CE067B" w:rsidRPr="008F1836" w:rsidRDefault="00CE067B" w:rsidP="008F1836">
      <w:pPr>
        <w:spacing w:after="120" w:line="240" w:lineRule="auto"/>
        <w:rPr>
          <w:color w:val="7030A0"/>
          <w:sz w:val="24"/>
          <w:szCs w:val="24"/>
        </w:rPr>
      </w:pPr>
      <w:r w:rsidRPr="008904EF">
        <w:rPr>
          <w:rStyle w:val="EndnoteReference"/>
          <w:b/>
          <w:sz w:val="28"/>
          <w:szCs w:val="28"/>
        </w:rPr>
        <w:endnoteRef/>
      </w:r>
      <w:r w:rsidRPr="008904EF">
        <w:rPr>
          <w:b/>
          <w:sz w:val="28"/>
          <w:szCs w:val="28"/>
        </w:rPr>
        <w:t xml:space="preserve"> </w:t>
      </w:r>
      <w:r w:rsidRPr="004E25D8">
        <w:rPr>
          <w:b/>
          <w:sz w:val="24"/>
          <w:szCs w:val="24"/>
        </w:rPr>
        <w:t>Student Introductions</w:t>
      </w:r>
      <w:r w:rsidRPr="004B290B">
        <w:rPr>
          <w:sz w:val="24"/>
          <w:szCs w:val="24"/>
        </w:rPr>
        <w:t>:</w:t>
      </w:r>
      <w:r w:rsidRPr="009A6DA8">
        <w:rPr>
          <w:sz w:val="24"/>
          <w:szCs w:val="24"/>
        </w:rPr>
        <w:t xml:space="preserve"> In week 1, provide a space (Voicethread</w:t>
      </w:r>
      <w:r w:rsidR="004E25D8">
        <w:rPr>
          <w:sz w:val="24"/>
          <w:szCs w:val="24"/>
        </w:rPr>
        <w:t>,</w:t>
      </w:r>
      <w:r w:rsidRPr="009A6DA8">
        <w:rPr>
          <w:sz w:val="24"/>
          <w:szCs w:val="24"/>
        </w:rPr>
        <w:t xml:space="preserve"> Discussion Board, Blog) for students to introduce themselves to the class (“Tell us something about you; share your reasons for taking this course, upload your photo.</w:t>
      </w:r>
      <w:r w:rsidR="00F84B97">
        <w:rPr>
          <w:sz w:val="24"/>
          <w:szCs w:val="24"/>
        </w:rPr>
        <w:t>”</w:t>
      </w:r>
      <w:r w:rsidRPr="009A6DA8">
        <w:rPr>
          <w:sz w:val="24"/>
          <w:szCs w:val="24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37644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0730" w:rsidRDefault="00B40730" w:rsidP="00FA62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E3FB7" w:rsidRDefault="001E3FB7" w:rsidP="00B407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8277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0730" w:rsidRDefault="00B40730" w:rsidP="00FA62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E3FB7" w:rsidRDefault="00B40730" w:rsidP="00B40730">
    <w:pPr>
      <w:pStyle w:val="Footer"/>
      <w:ind w:right="360"/>
    </w:pPr>
    <w:r>
      <w:t>2/1/18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C5" w:rsidRDefault="00D373C5" w:rsidP="00F91F81">
      <w:pPr>
        <w:spacing w:after="0" w:line="240" w:lineRule="auto"/>
      </w:pPr>
      <w:r>
        <w:separator/>
      </w:r>
    </w:p>
  </w:footnote>
  <w:footnote w:type="continuationSeparator" w:id="0">
    <w:p w:rsidR="00D373C5" w:rsidRDefault="00D373C5" w:rsidP="00F9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FB7" w:rsidRPr="00B40730" w:rsidRDefault="005F50B1" w:rsidP="001E3FB7">
    <w:pPr>
      <w:pStyle w:val="Title"/>
      <w:spacing w:after="240"/>
      <w:contextualSpacing w:val="0"/>
      <w:rPr>
        <w:b/>
      </w:rPr>
    </w:pPr>
    <w:r>
      <w:rPr>
        <w:b/>
      </w:rPr>
      <w:t xml:space="preserve">IDMS </w:t>
    </w:r>
    <w:r w:rsidR="001E3FB7" w:rsidRPr="00B40730">
      <w:rPr>
        <w:b/>
      </w:rPr>
      <w:t>Course Development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C12"/>
    <w:multiLevelType w:val="hybridMultilevel"/>
    <w:tmpl w:val="3E163ACC"/>
    <w:lvl w:ilvl="0" w:tplc="F63C1A6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5EAE"/>
    <w:multiLevelType w:val="hybridMultilevel"/>
    <w:tmpl w:val="A3AC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4F1"/>
    <w:multiLevelType w:val="hybridMultilevel"/>
    <w:tmpl w:val="8BEC8044"/>
    <w:lvl w:ilvl="0" w:tplc="F63C1A6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6497"/>
    <w:multiLevelType w:val="multilevel"/>
    <w:tmpl w:val="992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73EA5"/>
    <w:multiLevelType w:val="hybridMultilevel"/>
    <w:tmpl w:val="22B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92B9D"/>
    <w:multiLevelType w:val="multilevel"/>
    <w:tmpl w:val="E088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F5CA7"/>
    <w:multiLevelType w:val="multilevel"/>
    <w:tmpl w:val="9DA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98"/>
    <w:rsid w:val="000C76CB"/>
    <w:rsid w:val="00142760"/>
    <w:rsid w:val="00172998"/>
    <w:rsid w:val="00185EE3"/>
    <w:rsid w:val="001908AD"/>
    <w:rsid w:val="00197C66"/>
    <w:rsid w:val="001A109E"/>
    <w:rsid w:val="001A263A"/>
    <w:rsid w:val="001B6426"/>
    <w:rsid w:val="001E3FB7"/>
    <w:rsid w:val="0024622E"/>
    <w:rsid w:val="002652A0"/>
    <w:rsid w:val="00273090"/>
    <w:rsid w:val="002921A9"/>
    <w:rsid w:val="00294B05"/>
    <w:rsid w:val="002B78E2"/>
    <w:rsid w:val="002C6E59"/>
    <w:rsid w:val="003003C6"/>
    <w:rsid w:val="00322AAF"/>
    <w:rsid w:val="00371DCB"/>
    <w:rsid w:val="0038607C"/>
    <w:rsid w:val="00390F07"/>
    <w:rsid w:val="00392178"/>
    <w:rsid w:val="003926D7"/>
    <w:rsid w:val="00403A4B"/>
    <w:rsid w:val="004042B1"/>
    <w:rsid w:val="004134BA"/>
    <w:rsid w:val="00416FFE"/>
    <w:rsid w:val="004176F9"/>
    <w:rsid w:val="0044622F"/>
    <w:rsid w:val="00486114"/>
    <w:rsid w:val="00490EB7"/>
    <w:rsid w:val="004B290B"/>
    <w:rsid w:val="004B2FF5"/>
    <w:rsid w:val="004C3831"/>
    <w:rsid w:val="004E25D8"/>
    <w:rsid w:val="005453C8"/>
    <w:rsid w:val="00553877"/>
    <w:rsid w:val="005564F0"/>
    <w:rsid w:val="005576BD"/>
    <w:rsid w:val="00576865"/>
    <w:rsid w:val="00587858"/>
    <w:rsid w:val="0059477B"/>
    <w:rsid w:val="005B7005"/>
    <w:rsid w:val="005F3800"/>
    <w:rsid w:val="005F50B1"/>
    <w:rsid w:val="005F5F27"/>
    <w:rsid w:val="00602B5C"/>
    <w:rsid w:val="00645E00"/>
    <w:rsid w:val="006C0EE4"/>
    <w:rsid w:val="006F1DFF"/>
    <w:rsid w:val="0072031B"/>
    <w:rsid w:val="00773B34"/>
    <w:rsid w:val="00782500"/>
    <w:rsid w:val="007831E6"/>
    <w:rsid w:val="007B0D6A"/>
    <w:rsid w:val="007B47F1"/>
    <w:rsid w:val="007F3F67"/>
    <w:rsid w:val="007F7A89"/>
    <w:rsid w:val="00806D0E"/>
    <w:rsid w:val="008904EF"/>
    <w:rsid w:val="008B0DD7"/>
    <w:rsid w:val="008F1836"/>
    <w:rsid w:val="0092312D"/>
    <w:rsid w:val="00945B04"/>
    <w:rsid w:val="00952150"/>
    <w:rsid w:val="00952D4E"/>
    <w:rsid w:val="009537CF"/>
    <w:rsid w:val="009A04C8"/>
    <w:rsid w:val="009A1DCE"/>
    <w:rsid w:val="009A6DA8"/>
    <w:rsid w:val="009F0A51"/>
    <w:rsid w:val="00A267C5"/>
    <w:rsid w:val="00A3370D"/>
    <w:rsid w:val="00A7495F"/>
    <w:rsid w:val="00A75F73"/>
    <w:rsid w:val="00AA4A6E"/>
    <w:rsid w:val="00B17707"/>
    <w:rsid w:val="00B309CB"/>
    <w:rsid w:val="00B36AF5"/>
    <w:rsid w:val="00B40730"/>
    <w:rsid w:val="00B8003F"/>
    <w:rsid w:val="00B929EF"/>
    <w:rsid w:val="00BB3D07"/>
    <w:rsid w:val="00C2141F"/>
    <w:rsid w:val="00C370B8"/>
    <w:rsid w:val="00C76A84"/>
    <w:rsid w:val="00C770B0"/>
    <w:rsid w:val="00C95373"/>
    <w:rsid w:val="00CA2776"/>
    <w:rsid w:val="00CB73FF"/>
    <w:rsid w:val="00CD3880"/>
    <w:rsid w:val="00CE067B"/>
    <w:rsid w:val="00D373C5"/>
    <w:rsid w:val="00D56303"/>
    <w:rsid w:val="00D67A7C"/>
    <w:rsid w:val="00D67C57"/>
    <w:rsid w:val="00DA5636"/>
    <w:rsid w:val="00DB1B36"/>
    <w:rsid w:val="00E14526"/>
    <w:rsid w:val="00E707EE"/>
    <w:rsid w:val="00E96145"/>
    <w:rsid w:val="00EE17F7"/>
    <w:rsid w:val="00EF2EA2"/>
    <w:rsid w:val="00F25B98"/>
    <w:rsid w:val="00F34BDE"/>
    <w:rsid w:val="00F84B97"/>
    <w:rsid w:val="00F91F81"/>
    <w:rsid w:val="00FA0860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A338"/>
  <w14:defaultImageDpi w14:val="32767"/>
  <w15:chartTrackingRefBased/>
  <w15:docId w15:val="{631D1292-1F31-EA49-8E44-D3B408B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98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90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9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29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07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3090"/>
    <w:rPr>
      <w:rFonts w:asciiTheme="majorHAnsi" w:eastAsiaTheme="majorEastAsia" w:hAnsiTheme="majorHAnsi" w:cstheme="majorBid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7E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7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0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0DD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85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9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91F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F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F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7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7F1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47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B7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B7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4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drexel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rexel.edu/inspire/fellows/develop-cour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exel.edu/inspire/fellows/develop-course/accessibili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rexel.edu/provost/assessment/outcomes/developing-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xel.edu/academics/overview/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join" TargetMode="External"/><Relationship Id="rId3" Type="http://schemas.openxmlformats.org/officeDocument/2006/relationships/hyperlink" Target="http://drexel.edu/provost/policies/course-add-drop/" TargetMode="External"/><Relationship Id="rId7" Type="http://schemas.openxmlformats.org/officeDocument/2006/relationships/hyperlink" Target="https://www.ted.com/" TargetMode="External"/><Relationship Id="rId2" Type="http://schemas.openxmlformats.org/officeDocument/2006/relationships/hyperlink" Target="https://www.cmu.edu/teaching/assessment/basics/formative-summative.html" TargetMode="External"/><Relationship Id="rId1" Type="http://schemas.openxmlformats.org/officeDocument/2006/relationships/hyperlink" Target="http://www.celt.iastate.edu/teaching/effective-teaching-practices/revised-blooms-taxonomy" TargetMode="External"/><Relationship Id="rId6" Type="http://schemas.openxmlformats.org/officeDocument/2006/relationships/hyperlink" Target="https://highered.nbclearn.com/portal/site/HigherEd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://drexel.edu/provost/assessment/methods/" TargetMode="External"/><Relationship Id="rId9" Type="http://schemas.openxmlformats.org/officeDocument/2006/relationships/hyperlink" Target="https://www.library.drexel.edu/research-support/librarians-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8161C-FBE7-1143-96FA-F8A70454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Shanahan,Eileen</dc:creator>
  <cp:keywords/>
  <dc:description/>
  <cp:lastModifiedBy>Shanahan,Eileen</cp:lastModifiedBy>
  <cp:revision>3</cp:revision>
  <dcterms:created xsi:type="dcterms:W3CDTF">2018-02-01T20:57:00Z</dcterms:created>
  <dcterms:modified xsi:type="dcterms:W3CDTF">2018-04-17T14:24:00Z</dcterms:modified>
</cp:coreProperties>
</file>